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2CCA" w14:textId="5D02B7E6" w:rsidR="006059BB" w:rsidRPr="008619D1" w:rsidRDefault="006059BB" w:rsidP="00BA0FDD">
      <w:pPr>
        <w:pStyle w:val="1BidStyleLevel1"/>
      </w:pPr>
      <w:r w:rsidRPr="008619D1">
        <w:t xml:space="preserve">Storm </w:t>
      </w:r>
      <w:r w:rsidRPr="008619D1">
        <w:rPr>
          <w:u w:val="none"/>
        </w:rPr>
        <w:t>Water</w:t>
      </w:r>
      <w:r w:rsidRPr="008619D1">
        <w:t xml:space="preserve"> Permitting Requirements UNDER THE MONTANA POLLUTANT DISCHARGE ELIMINATION SYSTEM (MPDES) [</w:t>
      </w:r>
      <w:r w:rsidR="007A3A1C" w:rsidRPr="008619D1">
        <w:t>208</w:t>
      </w:r>
      <w:r w:rsidRPr="008619D1">
        <w:t>] (Rev</w:t>
      </w:r>
      <w:r w:rsidR="00271942" w:rsidRPr="008619D1">
        <w:t>ISED</w:t>
      </w:r>
      <w:r w:rsidRPr="008619D1">
        <w:t xml:space="preserve"> </w:t>
      </w:r>
      <w:r w:rsidR="00BE6270">
        <w:t>8-10</w:t>
      </w:r>
      <w:r w:rsidR="007C3FBB" w:rsidRPr="008619D1">
        <w:t>-23</w:t>
      </w:r>
      <w:r w:rsidRPr="008619D1">
        <w:t>)</w:t>
      </w:r>
    </w:p>
    <w:p w14:paraId="56B9056B" w14:textId="3461507D" w:rsidR="006059BB" w:rsidRPr="008619D1" w:rsidRDefault="006059BB" w:rsidP="00632179">
      <w:pPr>
        <w:pStyle w:val="2BidStyleA"/>
      </w:pPr>
      <w:r w:rsidRPr="008619D1">
        <w:t>Description. The DEQ regulates storm water discharges under the MPDES program. If the bid package contains blank erosion control plans, a construction storm water discharge permit authorization will be required. If not, a storm water discharge permit authorization may be required for this project depending on Contractor’s operations. Sum the disturbance area (as defined by DEQ) identified in the contract with the area of disturbance caused by contractor operations to determine if the permit acreage threshold is exceeded. Contractor operations can include, but are not limited to, the following support activities: staging areas, access roads, material storage areas, temporary concrete</w:t>
      </w:r>
      <w:r w:rsidR="008619D1">
        <w:t>,</w:t>
      </w:r>
      <w:r w:rsidRPr="008619D1">
        <w:t xml:space="preserve"> or asphalt batch plants, borrow areas, areas used for fill placement, etc. If the summed disturbance area is one acre or more, use the DEQ authorization to discharge under the MPDES General Permit for Storm Water Discharges Associated with Construction Activity</w:t>
      </w:r>
      <w:r w:rsidR="00356D8B" w:rsidRPr="008619D1">
        <w:t xml:space="preserve"> (General Permit)</w:t>
      </w:r>
      <w:r w:rsidRPr="008619D1">
        <w:t xml:space="preserve"> for this project. In order to facilitate permit transfer, separate NOI packages are required for areas within the right-of-way and areas outside of the right-of-way. A NOI package includes a Notice of Intent, with a topographic map, a SWPPP, the erosion control plans, </w:t>
      </w:r>
      <w:bookmarkStart w:id="0" w:name="_Hlk64555393"/>
      <w:r w:rsidRPr="008619D1">
        <w:t>sage grouse consultation letter, if applicable</w:t>
      </w:r>
      <w:bookmarkEnd w:id="0"/>
      <w:r w:rsidRPr="008619D1">
        <w:t>, and supporting documentation.</w:t>
      </w:r>
    </w:p>
    <w:p w14:paraId="1311B104" w14:textId="55E4D0DC" w:rsidR="006059BB" w:rsidRPr="008619D1" w:rsidRDefault="006059BB" w:rsidP="008E00FA">
      <w:pPr>
        <w:pStyle w:val="BodyTextFirstIndent"/>
      </w:pPr>
      <w:r w:rsidRPr="008619D1">
        <w:t>Blank Erosion Control Plans, and a topographic map, are provided with the plans if the plans include greater than 1 acre of disturbance. Complete the erosion control plans as required by the general permit. Complete the SWPPP using DEQ’s most current SWPPP Form.</w:t>
      </w:r>
    </w:p>
    <w:p w14:paraId="28C0A372" w14:textId="462D5F5D" w:rsidR="006059BB" w:rsidRPr="008619D1" w:rsidRDefault="006059BB" w:rsidP="00632179">
      <w:pPr>
        <w:pStyle w:val="2BidStyleA"/>
      </w:pPr>
      <w:r w:rsidRPr="008619D1">
        <w:t xml:space="preserve">Materials. Follow the requirements described in the Department’s </w:t>
      </w:r>
      <w:r w:rsidRPr="008619D1">
        <w:rPr>
          <w:i/>
        </w:rPr>
        <w:t>Erosion and Sediment Control Best Management Practices Manual (December 2016).</w:t>
      </w:r>
      <w:r w:rsidRPr="008619D1">
        <w:t xml:space="preserve"> Rescind Section 208 detailed drawings. Submit to the Project Manager for review and acceptance BMPs proposed for use that are not included in the Manual.</w:t>
      </w:r>
    </w:p>
    <w:p w14:paraId="014B20B6" w14:textId="77777777" w:rsidR="006059BB" w:rsidRPr="008619D1" w:rsidRDefault="006059BB" w:rsidP="00632179">
      <w:pPr>
        <w:pStyle w:val="2BidStyleA"/>
      </w:pPr>
      <w:r w:rsidRPr="008619D1">
        <w:t>Construction Requirements.</w:t>
      </w:r>
    </w:p>
    <w:p w14:paraId="3A32A6DB" w14:textId="77777777" w:rsidR="006059BB" w:rsidRPr="008619D1" w:rsidRDefault="006059BB" w:rsidP="006059BB">
      <w:pPr>
        <w:pStyle w:val="3BidStyle1"/>
      </w:pPr>
      <w:r w:rsidRPr="008619D1">
        <w:t>MPDES Permit Required.</w:t>
      </w:r>
    </w:p>
    <w:p w14:paraId="4437F700" w14:textId="55B04BA6" w:rsidR="006059BB" w:rsidRPr="008619D1" w:rsidRDefault="006059BB" w:rsidP="00BA5438">
      <w:pPr>
        <w:pStyle w:val="4BidStylea"/>
      </w:pPr>
      <w:bookmarkStart w:id="1" w:name="_Hlk64556665"/>
      <w:r w:rsidRPr="008619D1">
        <w:t>Submit one NOI package and the associated fees to DEQ for ground disturbance areas shown in the plans or within the right-of-way. For ground disturbance areas shown in the plans and any other areas within the right-of-way where Contractor activities causing ground disturbance are planned, the Contractor is the sole permittee until construction is complete and the General Permit is transferred to the Department or another entity.</w:t>
      </w:r>
    </w:p>
    <w:p w14:paraId="320B9F55" w14:textId="77777777" w:rsidR="006059BB" w:rsidRPr="008619D1" w:rsidRDefault="006059BB" w:rsidP="008E00FA">
      <w:pPr>
        <w:pStyle w:val="BodyTextFirstIndent"/>
      </w:pPr>
      <w:r w:rsidRPr="008619D1">
        <w:t>The Department is not responsible for delays caused by incomplete or inaccurate submittals by the Contractor.</w:t>
      </w:r>
    </w:p>
    <w:p w14:paraId="02EC3BAD" w14:textId="367B811E" w:rsidR="006059BB" w:rsidRPr="008619D1" w:rsidRDefault="006059BB" w:rsidP="008E00FA">
      <w:pPr>
        <w:pStyle w:val="BodyTextFirstIndent"/>
      </w:pPr>
      <w:r w:rsidRPr="008619D1">
        <w:t xml:space="preserve">Comply with the requirements of the General Permit and implement the SWPPP. Provide </w:t>
      </w:r>
      <w:r w:rsidR="00841907" w:rsidRPr="008619D1">
        <w:t>an</w:t>
      </w:r>
      <w:r w:rsidR="005702EF" w:rsidRPr="008619D1">
        <w:t xml:space="preserve"> electronic</w:t>
      </w:r>
      <w:r w:rsidR="00435EB6" w:rsidRPr="008619D1">
        <w:t xml:space="preserve"> </w:t>
      </w:r>
      <w:r w:rsidRPr="008619D1">
        <w:t>cop</w:t>
      </w:r>
      <w:r w:rsidR="00841907" w:rsidRPr="008619D1">
        <w:t>y</w:t>
      </w:r>
      <w:r w:rsidRPr="008619D1">
        <w:t xml:space="preserve"> of the NOI Package submitted to DEQ and confirmation for receipt of a complete NOI Package from DEQ to the Project Manager prior to conducting any ground disturbance activities.</w:t>
      </w:r>
    </w:p>
    <w:p w14:paraId="3BBA0D60" w14:textId="6F1ECE7D" w:rsidR="006059BB" w:rsidRPr="008619D1" w:rsidRDefault="006059BB" w:rsidP="008E00FA">
      <w:pPr>
        <w:pStyle w:val="BodyTextFirstIndent"/>
      </w:pPr>
      <w:r w:rsidRPr="008619D1">
        <w:t>Do not begin construction activities until the required copy of the NOI Package submitted to DEQ and confirmation for receipt of a complete NOI Package from DEQ is received by the Project Manager.</w:t>
      </w:r>
    </w:p>
    <w:p w14:paraId="6B9FF830" w14:textId="1E9C2A6F" w:rsidR="006059BB" w:rsidRPr="008619D1" w:rsidRDefault="007C3FBB" w:rsidP="00BA5438">
      <w:pPr>
        <w:pStyle w:val="4BidStylea"/>
      </w:pPr>
      <w:r w:rsidRPr="008619D1">
        <w:t>Furnish and install public signage as required by the</w:t>
      </w:r>
      <w:r w:rsidR="00D25EEC" w:rsidRPr="008619D1">
        <w:t xml:space="preserve"> General Permit</w:t>
      </w:r>
      <w:r w:rsidRPr="008619D1">
        <w:t xml:space="preserve">. </w:t>
      </w:r>
      <w:r w:rsidR="0065467F" w:rsidRPr="008619D1">
        <w:t>Include the cost of the required sign(s) in the Temporary Erosion Cont</w:t>
      </w:r>
      <w:r w:rsidR="006B3985" w:rsidRPr="008619D1">
        <w:t>rol Lump Sum bid item.</w:t>
      </w:r>
      <w:r w:rsidR="008619D1" w:rsidRPr="008619D1">
        <w:t xml:space="preserve"> </w:t>
      </w:r>
      <w:r w:rsidR="006059BB" w:rsidRPr="008619D1">
        <w:t xml:space="preserve">Submit a separate NOI package and the associated fees to DEQ for ground disturbance and support activity areas outside the right-of-way and not shown in the plans. Contractor furnished material sources, staging areas, plant sites, or any other Contractor caused ground disturbance outside the right-of-way and not shown in the plans, are the Contractor's responsibility and must be submitted under a separate NOI package from the ground disturbance within the right-of-way. For all support activities outside the right-of-way which are not part of a larger commercial operation serving multiple unrelated construction </w:t>
      </w:r>
      <w:r w:rsidR="00EE1219" w:rsidRPr="008619D1">
        <w:t>activities and</w:t>
      </w:r>
      <w:r w:rsidR="006059BB" w:rsidRPr="008619D1">
        <w:t xml:space="preserve"> will not continue operation beyond the completion of the contracted road construction activity, a notice of intent package must be submitted to DEQ to obtain an authorization under the </w:t>
      </w:r>
      <w:r w:rsidR="00356D8B" w:rsidRPr="008619D1">
        <w:t>General Permit</w:t>
      </w:r>
      <w:r w:rsidR="006059BB" w:rsidRPr="008619D1">
        <w:t xml:space="preserve">. Sand and gravel borrow area operations, gravel pits, and/or concrete batch plants that will continue </w:t>
      </w:r>
      <w:r w:rsidR="006059BB" w:rsidRPr="008619D1">
        <w:lastRenderedPageBreak/>
        <w:t>operation beyond the completion of the contracted road project, are part of a larger commercial operation, or serving multiple unrelated construction activities</w:t>
      </w:r>
      <w:r w:rsidR="00C25E99" w:rsidRPr="008619D1">
        <w:t>,</w:t>
      </w:r>
      <w:r w:rsidR="006059BB" w:rsidRPr="008619D1">
        <w:t xml:space="preserve"> must obtain permit coverage under the Multi-Sector General Permit for Storm Water Discharges Associated with Industrial Activity (MSGP) regardless of acreage size of the activity if the activity does not already have MSGP authorization. The Contractor is the sole permittee until stabilization is complete and the General Permit is terminated or transferred to another entity. The Department is not responsible for delays caused by incomplete or inaccurate submittals to DEQ by the Contractor.</w:t>
      </w:r>
    </w:p>
    <w:p w14:paraId="730131E2" w14:textId="095E1030" w:rsidR="006059BB" w:rsidRPr="008619D1" w:rsidRDefault="006059BB" w:rsidP="008E00FA">
      <w:pPr>
        <w:pStyle w:val="BodyTextFirstIndent"/>
      </w:pPr>
      <w:r w:rsidRPr="008619D1">
        <w:t>Provide cop</w:t>
      </w:r>
      <w:r w:rsidR="00356D8B" w:rsidRPr="008619D1">
        <w:t>ies</w:t>
      </w:r>
      <w:r w:rsidRPr="008619D1">
        <w:t xml:space="preserve"> of </w:t>
      </w:r>
      <w:r w:rsidR="00356D8B" w:rsidRPr="008619D1">
        <w:t xml:space="preserve">all </w:t>
      </w:r>
      <w:r w:rsidRPr="008619D1">
        <w:t>NOI Package</w:t>
      </w:r>
      <w:r w:rsidR="00356D8B" w:rsidRPr="008619D1">
        <w:t>s</w:t>
      </w:r>
      <w:r w:rsidRPr="008619D1">
        <w:t xml:space="preserve"> submitted to DEQ and confirmation</w:t>
      </w:r>
      <w:r w:rsidR="00356D8B" w:rsidRPr="008619D1">
        <w:t>s</w:t>
      </w:r>
      <w:r w:rsidRPr="008619D1">
        <w:t xml:space="preserve"> for receipt of complete NOI Package</w:t>
      </w:r>
      <w:r w:rsidR="00356D8B" w:rsidRPr="008619D1">
        <w:t>s</w:t>
      </w:r>
      <w:r w:rsidRPr="008619D1">
        <w:t xml:space="preserve"> from DEQ to the Project Manager prior to conducting any ground disturbance activities.</w:t>
      </w:r>
    </w:p>
    <w:p w14:paraId="0FE3B366" w14:textId="77777777" w:rsidR="006059BB" w:rsidRPr="008619D1" w:rsidRDefault="006059BB" w:rsidP="008E00FA">
      <w:pPr>
        <w:pStyle w:val="BodyTextFirstIndent"/>
      </w:pPr>
      <w:r w:rsidRPr="008619D1">
        <w:t>Be responsible for all temporary erosion, sediment, and pollution prevention controls for Contractor furnished material sources, staging areas, plant sites, or any other Contractor caused ground disturbance outside the right-of-way and not shown in the plans.</w:t>
      </w:r>
    </w:p>
    <w:p w14:paraId="2D66131E" w14:textId="2C5E00DB" w:rsidR="006059BB" w:rsidRPr="008619D1" w:rsidRDefault="006059BB" w:rsidP="00BA5438">
      <w:pPr>
        <w:pStyle w:val="4BidStylea"/>
      </w:pPr>
      <w:r w:rsidRPr="008619D1">
        <w:t xml:space="preserve">Complete and document all inspections in accordance with the requirements of the General Permit. Use DEQ’s most current self-inspection form available online at: </w:t>
      </w:r>
      <w:hyperlink r:id="rId8" w:history="1">
        <w:r w:rsidR="00BE6270" w:rsidRPr="00853CBA">
          <w:rPr>
            <w:color w:val="0563C1"/>
            <w:u w:val="single"/>
          </w:rPr>
          <w:t>https://deq.mt.gov/files/Water/WQInfo/Documents/WPBForms/</w:t>
        </w:r>
        <w:r w:rsidR="00BE6270" w:rsidRPr="00853CBA">
          <w:rPr>
            <w:color w:val="0563C1"/>
            <w:u w:val="single"/>
          </w:rPr>
          <w:t>2</w:t>
        </w:r>
        <w:r w:rsidR="00BE6270" w:rsidRPr="00853CBA">
          <w:rPr>
            <w:color w:val="0563C1"/>
            <w:u w:val="single"/>
          </w:rPr>
          <w:t>023-Attachment-B-MTR100000.pdf</w:t>
        </w:r>
      </w:hyperlink>
      <w:r w:rsidR="00BE6270" w:rsidRPr="00853CBA">
        <w:t xml:space="preserve">. </w:t>
      </w:r>
      <w:r w:rsidRPr="00853CBA">
        <w:t>Provide a copy of all inspection reports to the Project Manager</w:t>
      </w:r>
      <w:r w:rsidR="00C25E99" w:rsidRPr="00853CBA">
        <w:t xml:space="preserve"> within 7</w:t>
      </w:r>
      <w:r w:rsidR="00C25E99" w:rsidRPr="008619D1">
        <w:t xml:space="preserve"> calendar days of the inspection</w:t>
      </w:r>
      <w:r w:rsidRPr="008619D1">
        <w:t>.</w:t>
      </w:r>
    </w:p>
    <w:p w14:paraId="3FF82F2E" w14:textId="4FFF5DD5" w:rsidR="006059BB" w:rsidRPr="008619D1" w:rsidRDefault="006059BB" w:rsidP="008E00FA">
      <w:pPr>
        <w:pStyle w:val="BodyTextFirstIndent"/>
      </w:pPr>
      <w:r w:rsidRPr="008619D1">
        <w:t xml:space="preserve">Report potential noncompliance in accordance with applicable regulations, guidance, and permit conditions. Submit to the Project Manager within </w:t>
      </w:r>
      <w:r w:rsidR="00435EB6" w:rsidRPr="008619D1">
        <w:t xml:space="preserve">7 calendar </w:t>
      </w:r>
      <w:r w:rsidRPr="008619D1">
        <w:t>days of sending or receiving all correspondence to or from regulatory agencies regarding potential noncompliance or violations.</w:t>
      </w:r>
    </w:p>
    <w:p w14:paraId="2F36C3EA" w14:textId="3E55AC6F" w:rsidR="006059BB" w:rsidRPr="008619D1" w:rsidRDefault="006059BB" w:rsidP="008E00FA">
      <w:pPr>
        <w:pStyle w:val="BodyTextFirstIndent"/>
      </w:pPr>
      <w:r w:rsidRPr="008619D1">
        <w:t>The temporary erosion and sediment control measures and devices to prevent pollution and control sediment transport and soil erosion will be inspected as part of the final inspection to ensure they are maintained and functioning properly. Do not transfer or terminate the General Permit coverage until the BMPs are inspected and accepted and all records required under the permit, including inspection and monitoring reports, are furnished to the Project Manager</w:t>
      </w:r>
      <w:r w:rsidR="001C6F12" w:rsidRPr="008619D1">
        <w:t xml:space="preserve"> and authorization is received from </w:t>
      </w:r>
      <w:r w:rsidR="008619D1" w:rsidRPr="008619D1">
        <w:t>the Department</w:t>
      </w:r>
      <w:r w:rsidRPr="008619D1">
        <w:t>.</w:t>
      </w:r>
      <w:r w:rsidR="008619D1" w:rsidRPr="008619D1">
        <w:t xml:space="preserve"> </w:t>
      </w:r>
      <w:r w:rsidRPr="008619D1">
        <w:t>The Department may require that certain BMPs be replaced by another type of BMP as a condition of permit transfer.</w:t>
      </w:r>
    </w:p>
    <w:p w14:paraId="6306B76E" w14:textId="3FBCD1CC" w:rsidR="006059BB" w:rsidRPr="008619D1" w:rsidRDefault="006059BB" w:rsidP="00BA0FDD">
      <w:pPr>
        <w:tabs>
          <w:tab w:val="left" w:pos="915"/>
          <w:tab w:val="left" w:pos="3617"/>
        </w:tabs>
      </w:pPr>
      <w:r w:rsidRPr="008619D1">
        <w:t xml:space="preserve">Upon approval of site conditions, measures, devices and all pertinent records, the </w:t>
      </w:r>
      <w:r w:rsidR="00413C65" w:rsidRPr="008619D1">
        <w:t xml:space="preserve">Department will notify the Contractor to begin the </w:t>
      </w:r>
      <w:r w:rsidRPr="008619D1">
        <w:t xml:space="preserve">Permit Transfer Notification </w:t>
      </w:r>
      <w:r w:rsidR="00413C65" w:rsidRPr="008619D1">
        <w:t xml:space="preserve">in DEQ FACTS. </w:t>
      </w:r>
      <w:r w:rsidR="007D782C" w:rsidRPr="008619D1">
        <w:t xml:space="preserve">Once completed, provide verification that all fees have been paid and the permit is ready for transfer </w:t>
      </w:r>
      <w:bookmarkStart w:id="2" w:name="_Hlk131675250"/>
      <w:r w:rsidR="007D782C" w:rsidRPr="008619D1">
        <w:t xml:space="preserve">in DEQ FACTS. </w:t>
      </w:r>
      <w:bookmarkEnd w:id="2"/>
      <w:r w:rsidRPr="008619D1">
        <w:t xml:space="preserve">The Department is not liable for the completeness or accuracy of Contractor records completed prior to the permit transfer. Ensure permit conditions and responsibilities are met until confirmation of the transfer is received from DEQ. Defend and hold </w:t>
      </w:r>
      <w:r w:rsidR="00435EB6" w:rsidRPr="008619D1">
        <w:t xml:space="preserve">the Department </w:t>
      </w:r>
      <w:r w:rsidRPr="008619D1">
        <w:t>harmless from any violations, claims, enforcement actions, penalties or fines issued for Contractor activities or recordkeeping that occurred prior to the transfer of the General Permit.</w:t>
      </w:r>
    </w:p>
    <w:p w14:paraId="13B7E57C" w14:textId="77777777" w:rsidR="006059BB" w:rsidRPr="008619D1" w:rsidRDefault="006059BB" w:rsidP="008E00FA">
      <w:pPr>
        <w:pStyle w:val="BodyTextFirstIndent"/>
      </w:pPr>
      <w:r w:rsidRPr="008619D1">
        <w:t>If the Department concurs that final stabilization has been met during the final walk-through, the Contractor may submit a Notice of Termination form to DEQ. Pay the annual fee invoice due at the time of termination. Submit the annual fee invoice to the Project Manager for reimbursement.</w:t>
      </w:r>
    </w:p>
    <w:p w14:paraId="10EB7674" w14:textId="77777777" w:rsidR="006059BB" w:rsidRPr="008619D1" w:rsidRDefault="006059BB" w:rsidP="006059BB">
      <w:pPr>
        <w:pStyle w:val="3BidStyle1"/>
      </w:pPr>
      <w:r w:rsidRPr="008619D1">
        <w:t>MPDES Permit not Required.</w:t>
      </w:r>
    </w:p>
    <w:p w14:paraId="342C00A8" w14:textId="340EBC79" w:rsidR="006059BB" w:rsidRPr="008619D1" w:rsidRDefault="006059BB" w:rsidP="008E00FA">
      <w:pPr>
        <w:pStyle w:val="BodyTextFirstIndent"/>
      </w:pPr>
      <w:r w:rsidRPr="008619D1">
        <w:t>The BMP-Administration item is included in contracts that may not meet either criteria for a</w:t>
      </w:r>
      <w:r w:rsidR="008619D1">
        <w:t>n</w:t>
      </w:r>
      <w:r w:rsidRPr="008619D1">
        <w:t xml:space="preserve"> MPDES permit but include ground disturbing activities. Complete BMP inspections and install BMPs, if necessary, in accordance with Section 208, if no storm water permit is required. Utilize form MDT-ENV-014, Water Pollution Control Inspection Report. A certified SWPPP Administrator is not required to conduct the inspections if no permit is required.</w:t>
      </w:r>
    </w:p>
    <w:bookmarkEnd w:id="1"/>
    <w:p w14:paraId="1721EF92" w14:textId="1B59AFDA" w:rsidR="006059BB" w:rsidRPr="008619D1" w:rsidRDefault="006059BB" w:rsidP="00632179">
      <w:pPr>
        <w:pStyle w:val="2BidStyleA"/>
      </w:pPr>
      <w:r w:rsidRPr="008619D1">
        <w:t>Method of Measurement. DEQ MPDES fees and monitoring costs associated with obtaining and maintaining the General Permit for ground disturbance areas both within and outside the right-of-way are not measured separately for payment.</w:t>
      </w:r>
    </w:p>
    <w:p w14:paraId="0BF072E8" w14:textId="77777777" w:rsidR="006059BB" w:rsidRPr="008619D1" w:rsidRDefault="006059BB" w:rsidP="008E00FA">
      <w:pPr>
        <w:pStyle w:val="BodyTextFirstIndent"/>
      </w:pPr>
      <w:r w:rsidRPr="008619D1">
        <w:t>If no permit is necessary, include the cost of all erosion control, devices, and inspections in the BMP-Administration bid item.</w:t>
      </w:r>
    </w:p>
    <w:p w14:paraId="2274F0F8" w14:textId="5ABBF139" w:rsidR="006059BB" w:rsidRPr="008619D1" w:rsidRDefault="006059BB" w:rsidP="00632179">
      <w:pPr>
        <w:pStyle w:val="2BidStyleA"/>
      </w:pPr>
      <w:r w:rsidRPr="008619D1">
        <w:lastRenderedPageBreak/>
        <w:t>Basis of Payment. No additional payment will be made for the DEQ MPDES fees and monitoring costs associated with the General Permit. Include these costs in the Temporary Erosion Control-Lump Sum bid item.</w:t>
      </w:r>
    </w:p>
    <w:p w14:paraId="7B4D26E4" w14:textId="6DF145DF" w:rsidR="006059BB" w:rsidRPr="008619D1" w:rsidRDefault="006059BB" w:rsidP="008E00FA">
      <w:pPr>
        <w:pStyle w:val="BodyTextFirstIndent"/>
      </w:pPr>
      <w:r w:rsidRPr="008619D1">
        <w:t>For project including the BMP-Administration item, include the cost of all erosion control, devices, and inspections in the BMP-Administration bid item. Partial payment for the BMP-Administration will be monthly based on the lump sum contract price in accordance with Table 208-</w:t>
      </w:r>
      <w:r w:rsidR="007C3FBB" w:rsidRPr="008619D1">
        <w:t xml:space="preserve">2 </w:t>
      </w:r>
      <w:r w:rsidRPr="008619D1">
        <w:t>in Subsection 208.05.1.</w:t>
      </w:r>
    </w:p>
    <w:p w14:paraId="59D9FFFF" w14:textId="77777777" w:rsidR="006059BB" w:rsidRPr="008619D1" w:rsidRDefault="006059BB" w:rsidP="008E00FA">
      <w:pPr>
        <w:pStyle w:val="BodyTextFirstIndent"/>
      </w:pPr>
      <w:r w:rsidRPr="008619D1">
        <w:t xml:space="preserve">Payment for BMPs required by an event or extra work, and approved by the Project Manager, will be </w:t>
      </w:r>
      <w:proofErr w:type="gramStart"/>
      <w:r w:rsidRPr="008619D1">
        <w:t>measured</w:t>
      </w:r>
      <w:proofErr w:type="gramEnd"/>
      <w:r w:rsidRPr="008619D1">
        <w:t xml:space="preserve"> and paid for in accordance with the Erosion Control Rate Schedule contained in the contract at a unit price of $1.00 per unit.</w:t>
      </w:r>
    </w:p>
    <w:p w14:paraId="35AE4532" w14:textId="77777777" w:rsidR="00D757DE" w:rsidRPr="008619D1" w:rsidRDefault="00D757DE" w:rsidP="00562C41"/>
    <w:sectPr w:rsidR="00D757DE" w:rsidRPr="008619D1" w:rsidSect="00762A65">
      <w:headerReference w:type="even" r:id="rId9"/>
      <w:footerReference w:type="even" r:id="rId10"/>
      <w:pgSz w:w="12240" w:h="15840" w:code="1"/>
      <w:pgMar w:top="1440" w:right="1080" w:bottom="1080" w:left="108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47AD8" w14:textId="77777777" w:rsidR="006059BB" w:rsidRDefault="006059BB">
      <w:r>
        <w:separator/>
      </w:r>
    </w:p>
  </w:endnote>
  <w:endnote w:type="continuationSeparator" w:id="0">
    <w:p w14:paraId="0FBE533A" w14:textId="77777777" w:rsidR="006059BB" w:rsidRDefault="0060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BD3E" w14:textId="77777777" w:rsidR="00E53184" w:rsidRDefault="00E53184">
    <w:pPr>
      <w:pStyle w:val="Footer"/>
    </w:pPr>
  </w:p>
  <w:p w14:paraId="25C9D648" w14:textId="77777777" w:rsidR="00E53184" w:rsidRDefault="00E53184">
    <w:pPr>
      <w:pStyle w:val="Footer"/>
      <w:jc w:val="center"/>
    </w:pPr>
    <w:r>
      <w:t xml:space="preserve">– </w:t>
    </w:r>
    <w:r w:rsidR="00032F80">
      <w:rPr>
        <w:rStyle w:val="PageNumber"/>
      </w:rPr>
      <w:fldChar w:fldCharType="begin"/>
    </w:r>
    <w:r>
      <w:rPr>
        <w:rStyle w:val="PageNumber"/>
      </w:rPr>
      <w:instrText xml:space="preserve"> PAGE </w:instrText>
    </w:r>
    <w:r w:rsidR="00032F80">
      <w:rPr>
        <w:rStyle w:val="PageNumber"/>
      </w:rPr>
      <w:fldChar w:fldCharType="separate"/>
    </w:r>
    <w:r>
      <w:rPr>
        <w:rStyle w:val="PageNumber"/>
        <w:noProof/>
      </w:rPr>
      <w:t>2</w:t>
    </w:r>
    <w:r w:rsidR="00032F80">
      <w:rPr>
        <w:rStyle w:val="PageNumber"/>
      </w:rPr>
      <w:fldChar w:fldCharType="end"/>
    </w:r>
    <w:r>
      <w:rPr>
        <w:rStyle w:val="PageNumber"/>
      </w:rPr>
      <w:t xml:space="preserve"> –</w:t>
    </w:r>
  </w:p>
  <w:p w14:paraId="4B2E4B11" w14:textId="77777777" w:rsidR="00E53184" w:rsidRDefault="00E53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5119" w14:textId="77777777" w:rsidR="006059BB" w:rsidRDefault="006059BB">
      <w:r>
        <w:separator/>
      </w:r>
    </w:p>
  </w:footnote>
  <w:footnote w:type="continuationSeparator" w:id="0">
    <w:p w14:paraId="7316C89C" w14:textId="77777777" w:rsidR="006059BB" w:rsidRDefault="00605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6858"/>
      <w:gridCol w:w="2718"/>
    </w:tblGrid>
    <w:tr w:rsidR="00E53184" w14:paraId="3EF21C99" w14:textId="77777777">
      <w:tc>
        <w:tcPr>
          <w:tcW w:w="6858" w:type="dxa"/>
        </w:tcPr>
        <w:p w14:paraId="6A169B4F" w14:textId="77777777" w:rsidR="00E53184" w:rsidRDefault="009E3460">
          <w:pPr>
            <w:pStyle w:val="Header"/>
          </w:pPr>
          <w:r>
            <w:fldChar w:fldCharType="begin"/>
          </w:r>
          <w:r>
            <w:instrText xml:space="preserve"> REF ProjectNo </w:instrText>
          </w:r>
          <w:r>
            <w:fldChar w:fldCharType="separate"/>
          </w:r>
          <w:r w:rsidR="006059BB">
            <w:rPr>
              <w:b/>
              <w:bCs/>
            </w:rPr>
            <w:t>Error! Reference source not found.</w:t>
          </w:r>
          <w:r>
            <w:fldChar w:fldCharType="end"/>
          </w:r>
        </w:p>
      </w:tc>
      <w:tc>
        <w:tcPr>
          <w:tcW w:w="2718" w:type="dxa"/>
        </w:tcPr>
        <w:p w14:paraId="00510324" w14:textId="77777777" w:rsidR="00E53184" w:rsidRDefault="00E53184">
          <w:pPr>
            <w:pStyle w:val="Header"/>
            <w:jc w:val="right"/>
          </w:pPr>
          <w:r>
            <w:t>SPECIAL PROVISIONS</w:t>
          </w:r>
        </w:p>
      </w:tc>
    </w:tr>
  </w:tbl>
  <w:p w14:paraId="693FECFA" w14:textId="77777777" w:rsidR="00E53184" w:rsidRDefault="00E53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A8F"/>
    <w:multiLevelType w:val="singleLevel"/>
    <w:tmpl w:val="B8C860F2"/>
    <w:lvl w:ilvl="0">
      <w:start w:val="1"/>
      <w:numFmt w:val="bullet"/>
      <w:lvlText w:val=""/>
      <w:lvlJc w:val="left"/>
      <w:pPr>
        <w:tabs>
          <w:tab w:val="num" w:pos="3240"/>
        </w:tabs>
        <w:ind w:left="0" w:firstLine="2880"/>
      </w:pPr>
      <w:rPr>
        <w:rFonts w:ascii="Symbol" w:hAnsi="Symbol" w:hint="default"/>
      </w:rPr>
    </w:lvl>
  </w:abstractNum>
  <w:abstractNum w:abstractNumId="1" w15:restartNumberingAfterBreak="0">
    <w:nsid w:val="0DDD00B0"/>
    <w:multiLevelType w:val="hybridMultilevel"/>
    <w:tmpl w:val="3B1AD6F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07682E"/>
    <w:multiLevelType w:val="singleLevel"/>
    <w:tmpl w:val="08306D18"/>
    <w:lvl w:ilvl="0">
      <w:start w:val="1"/>
      <w:numFmt w:val="decimal"/>
      <w:lvlText w:val="%1."/>
      <w:lvlJc w:val="left"/>
      <w:pPr>
        <w:tabs>
          <w:tab w:val="num" w:pos="360"/>
        </w:tabs>
        <w:ind w:left="0" w:firstLine="0"/>
      </w:pPr>
    </w:lvl>
  </w:abstractNum>
  <w:abstractNum w:abstractNumId="3" w15:restartNumberingAfterBreak="0">
    <w:nsid w:val="486759AD"/>
    <w:multiLevelType w:val="hybridMultilevel"/>
    <w:tmpl w:val="4A807BE6"/>
    <w:lvl w:ilvl="0" w:tplc="CC50C11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170563"/>
    <w:multiLevelType w:val="singleLevel"/>
    <w:tmpl w:val="CE9AA7BE"/>
    <w:lvl w:ilvl="0">
      <w:start w:val="1"/>
      <w:numFmt w:val="bullet"/>
      <w:lvlText w:val=""/>
      <w:lvlJc w:val="left"/>
      <w:pPr>
        <w:tabs>
          <w:tab w:val="num" w:pos="1440"/>
        </w:tabs>
        <w:ind w:left="1440" w:hanging="360"/>
      </w:pPr>
      <w:rPr>
        <w:rFonts w:ascii="Wingdings" w:hAnsi="Wingdings" w:hint="default"/>
        <w:sz w:val="16"/>
      </w:rPr>
    </w:lvl>
  </w:abstractNum>
  <w:abstractNum w:abstractNumId="5" w15:restartNumberingAfterBreak="0">
    <w:nsid w:val="575A6AFA"/>
    <w:multiLevelType w:val="multilevel"/>
    <w:tmpl w:val="5C046F10"/>
    <w:lvl w:ilvl="0">
      <w:start w:val="1"/>
      <w:numFmt w:val="decimal"/>
      <w:pStyle w:val="1BidStyleLevel1"/>
      <w:lvlText w:val="%1."/>
      <w:lvlJc w:val="left"/>
      <w:pPr>
        <w:tabs>
          <w:tab w:val="num" w:pos="360"/>
        </w:tabs>
        <w:ind w:left="0" w:firstLine="0"/>
      </w:pPr>
    </w:lvl>
    <w:lvl w:ilvl="1">
      <w:start w:val="1"/>
      <w:numFmt w:val="upperLetter"/>
      <w:pStyle w:val="Level2"/>
      <w:lvlText w:val="%2."/>
      <w:lvlJc w:val="left"/>
      <w:pPr>
        <w:tabs>
          <w:tab w:val="num" w:pos="1080"/>
        </w:tabs>
        <w:ind w:left="0" w:firstLine="720"/>
      </w:pPr>
    </w:lvl>
    <w:lvl w:ilvl="2">
      <w:start w:val="1"/>
      <w:numFmt w:val="decimal"/>
      <w:pStyle w:val="Level3"/>
      <w:lvlText w:val="%3)"/>
      <w:lvlJc w:val="left"/>
      <w:pPr>
        <w:tabs>
          <w:tab w:val="num" w:pos="1080"/>
        </w:tabs>
        <w:ind w:left="0" w:firstLine="720"/>
      </w:pPr>
    </w:lvl>
    <w:lvl w:ilvl="3">
      <w:start w:val="1"/>
      <w:numFmt w:val="lowerLetter"/>
      <w:pStyle w:val="Level4"/>
      <w:lvlText w:val="%4)"/>
      <w:lvlJc w:val="left"/>
      <w:pPr>
        <w:tabs>
          <w:tab w:val="num" w:pos="1080"/>
        </w:tabs>
        <w:ind w:left="0" w:firstLine="720"/>
      </w:pPr>
    </w:lvl>
    <w:lvl w:ilvl="4">
      <w:start w:val="1"/>
      <w:numFmt w:val="decimal"/>
      <w:pStyle w:val="Level5"/>
      <w:lvlText w:val="(%5)"/>
      <w:lvlJc w:val="left"/>
      <w:pPr>
        <w:tabs>
          <w:tab w:val="num" w:pos="1080"/>
        </w:tabs>
        <w:ind w:left="0" w:firstLine="720"/>
      </w:pPr>
    </w:lvl>
    <w:lvl w:ilvl="5">
      <w:start w:val="1"/>
      <w:numFmt w:val="lowerLetter"/>
      <w:pStyle w:val="Level6"/>
      <w:lvlText w:val="(%6)"/>
      <w:lvlJc w:val="left"/>
      <w:pPr>
        <w:tabs>
          <w:tab w:val="num" w:pos="1080"/>
        </w:tabs>
        <w:ind w:left="0" w:firstLine="720"/>
      </w:pPr>
    </w:lvl>
    <w:lvl w:ilvl="6">
      <w:start w:val="1"/>
      <w:numFmt w:val="lowerRoman"/>
      <w:pStyle w:val="Level7"/>
      <w:lvlText w:val="%7)"/>
      <w:lvlJc w:val="left"/>
      <w:pPr>
        <w:tabs>
          <w:tab w:val="num" w:pos="1440"/>
        </w:tabs>
        <w:ind w:left="0" w:firstLine="720"/>
      </w:pPr>
    </w:lvl>
    <w:lvl w:ilvl="7">
      <w:start w:val="1"/>
      <w:numFmt w:val="none"/>
      <w:lvlText w:val="%8"/>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63BF750F"/>
    <w:multiLevelType w:val="singleLevel"/>
    <w:tmpl w:val="EE663F80"/>
    <w:lvl w:ilvl="0">
      <w:start w:val="1"/>
      <w:numFmt w:val="bullet"/>
      <w:lvlText w:val=""/>
      <w:lvlJc w:val="left"/>
      <w:pPr>
        <w:tabs>
          <w:tab w:val="num" w:pos="2520"/>
        </w:tabs>
        <w:ind w:left="0" w:firstLine="2160"/>
      </w:pPr>
      <w:rPr>
        <w:rFonts w:ascii="Symbol" w:hAnsi="Symbol" w:hint="default"/>
      </w:rPr>
    </w:lvl>
  </w:abstractNum>
  <w:abstractNum w:abstractNumId="7" w15:restartNumberingAfterBreak="0">
    <w:nsid w:val="6AC6098D"/>
    <w:multiLevelType w:val="singleLevel"/>
    <w:tmpl w:val="78A6E23C"/>
    <w:lvl w:ilvl="0">
      <w:start w:val="1"/>
      <w:numFmt w:val="lowerLetter"/>
      <w:lvlText w:val="%1)"/>
      <w:lvlJc w:val="left"/>
      <w:pPr>
        <w:tabs>
          <w:tab w:val="num" w:pos="2520"/>
        </w:tabs>
        <w:ind w:left="0" w:firstLine="2160"/>
      </w:pPr>
    </w:lvl>
  </w:abstractNum>
  <w:abstractNum w:abstractNumId="8" w15:restartNumberingAfterBreak="0">
    <w:nsid w:val="73444A25"/>
    <w:multiLevelType w:val="singleLevel"/>
    <w:tmpl w:val="808C1054"/>
    <w:lvl w:ilvl="0">
      <w:start w:val="1"/>
      <w:numFmt w:val="decimal"/>
      <w:pStyle w:val="Heading1"/>
      <w:lvlText w:val="%1."/>
      <w:lvlJc w:val="left"/>
      <w:pPr>
        <w:tabs>
          <w:tab w:val="num" w:pos="360"/>
        </w:tabs>
        <w:ind w:left="360" w:hanging="360"/>
      </w:pPr>
    </w:lvl>
  </w:abstractNum>
  <w:abstractNum w:abstractNumId="9" w15:restartNumberingAfterBreak="0">
    <w:nsid w:val="77E02519"/>
    <w:multiLevelType w:val="singleLevel"/>
    <w:tmpl w:val="B55ACB22"/>
    <w:lvl w:ilvl="0">
      <w:start w:val="1"/>
      <w:numFmt w:val="bullet"/>
      <w:pStyle w:val="Bullet-Text"/>
      <w:lvlText w:val=""/>
      <w:lvlJc w:val="left"/>
      <w:pPr>
        <w:tabs>
          <w:tab w:val="num" w:pos="1800"/>
        </w:tabs>
        <w:ind w:left="0" w:firstLine="1440"/>
      </w:pPr>
      <w:rPr>
        <w:rFonts w:ascii="Symbol" w:hAnsi="Symbol" w:hint="default"/>
      </w:rPr>
    </w:lvl>
  </w:abstractNum>
  <w:num w:numId="1" w16cid:durableId="1304894844">
    <w:abstractNumId w:val="2"/>
  </w:num>
  <w:num w:numId="2" w16cid:durableId="1600989233">
    <w:abstractNumId w:val="5"/>
  </w:num>
  <w:num w:numId="3" w16cid:durableId="295648304">
    <w:abstractNumId w:val="4"/>
  </w:num>
  <w:num w:numId="4" w16cid:durableId="644817375">
    <w:abstractNumId w:val="7"/>
    <w:lvlOverride w:ilvl="0">
      <w:startOverride w:val="1"/>
    </w:lvlOverride>
  </w:num>
  <w:num w:numId="5" w16cid:durableId="2009941880">
    <w:abstractNumId w:val="8"/>
  </w:num>
  <w:num w:numId="6" w16cid:durableId="624775499">
    <w:abstractNumId w:val="9"/>
  </w:num>
  <w:num w:numId="7" w16cid:durableId="745567488">
    <w:abstractNumId w:val="6"/>
  </w:num>
  <w:num w:numId="8" w16cid:durableId="730883952">
    <w:abstractNumId w:val="0"/>
  </w:num>
  <w:num w:numId="9" w16cid:durableId="2049260268">
    <w:abstractNumId w:val="3"/>
  </w:num>
  <w:num w:numId="10" w16cid:durableId="2077513132">
    <w:abstractNumId w:val="1"/>
  </w:num>
  <w:num w:numId="11" w16cid:durableId="2075085042">
    <w:abstractNumId w:val="9"/>
  </w:num>
  <w:num w:numId="12" w16cid:durableId="2126388086">
    <w:abstractNumId w:val="5"/>
  </w:num>
  <w:num w:numId="13" w16cid:durableId="639304366">
    <w:abstractNumId w:val="5"/>
  </w:num>
  <w:num w:numId="14" w16cid:durableId="15548438">
    <w:abstractNumId w:val="5"/>
  </w:num>
  <w:num w:numId="15" w16cid:durableId="2051803379">
    <w:abstractNumId w:val="5"/>
  </w:num>
  <w:num w:numId="16" w16cid:durableId="1635141345">
    <w:abstractNumId w:val="5"/>
  </w:num>
  <w:num w:numId="17" w16cid:durableId="1296792799">
    <w:abstractNumId w:val="5"/>
  </w:num>
  <w:num w:numId="18" w16cid:durableId="1743017412">
    <w:abstractNumId w:val="5"/>
  </w:num>
  <w:num w:numId="19" w16cid:durableId="809178461">
    <w:abstractNumId w:val="9"/>
  </w:num>
  <w:num w:numId="20" w16cid:durableId="18626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46224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BB"/>
    <w:rsid w:val="00017446"/>
    <w:rsid w:val="00032F80"/>
    <w:rsid w:val="00051D1E"/>
    <w:rsid w:val="000853C1"/>
    <w:rsid w:val="0009341C"/>
    <w:rsid w:val="001433CE"/>
    <w:rsid w:val="00145368"/>
    <w:rsid w:val="001612FF"/>
    <w:rsid w:val="00182F06"/>
    <w:rsid w:val="00185EF1"/>
    <w:rsid w:val="001908AB"/>
    <w:rsid w:val="001C237A"/>
    <w:rsid w:val="001C6F12"/>
    <w:rsid w:val="001D530A"/>
    <w:rsid w:val="00222B0A"/>
    <w:rsid w:val="0023386F"/>
    <w:rsid w:val="00242C4A"/>
    <w:rsid w:val="00255D43"/>
    <w:rsid w:val="00257ED2"/>
    <w:rsid w:val="00264A46"/>
    <w:rsid w:val="0026704A"/>
    <w:rsid w:val="00271942"/>
    <w:rsid w:val="0028138A"/>
    <w:rsid w:val="002866C1"/>
    <w:rsid w:val="002C27D0"/>
    <w:rsid w:val="002D19EB"/>
    <w:rsid w:val="003013CF"/>
    <w:rsid w:val="00307308"/>
    <w:rsid w:val="00332FB1"/>
    <w:rsid w:val="00356D8B"/>
    <w:rsid w:val="003A1939"/>
    <w:rsid w:val="003F3A47"/>
    <w:rsid w:val="004016E1"/>
    <w:rsid w:val="00403F81"/>
    <w:rsid w:val="00413C65"/>
    <w:rsid w:val="00430ED8"/>
    <w:rsid w:val="00435EB6"/>
    <w:rsid w:val="0047483C"/>
    <w:rsid w:val="0047671E"/>
    <w:rsid w:val="004813F3"/>
    <w:rsid w:val="004852B0"/>
    <w:rsid w:val="004A002E"/>
    <w:rsid w:val="004C709F"/>
    <w:rsid w:val="004E5E9B"/>
    <w:rsid w:val="004F73D4"/>
    <w:rsid w:val="00505F4A"/>
    <w:rsid w:val="00514C26"/>
    <w:rsid w:val="00524AE8"/>
    <w:rsid w:val="0054513A"/>
    <w:rsid w:val="00551EBB"/>
    <w:rsid w:val="005527AE"/>
    <w:rsid w:val="00556F47"/>
    <w:rsid w:val="00562C41"/>
    <w:rsid w:val="005702EF"/>
    <w:rsid w:val="00573399"/>
    <w:rsid w:val="0059135A"/>
    <w:rsid w:val="00597ADC"/>
    <w:rsid w:val="005C18A1"/>
    <w:rsid w:val="005F5841"/>
    <w:rsid w:val="006059BB"/>
    <w:rsid w:val="0062186C"/>
    <w:rsid w:val="00632179"/>
    <w:rsid w:val="0064651E"/>
    <w:rsid w:val="0065467F"/>
    <w:rsid w:val="00656364"/>
    <w:rsid w:val="006A7587"/>
    <w:rsid w:val="006B33C9"/>
    <w:rsid w:val="006B3985"/>
    <w:rsid w:val="006F6677"/>
    <w:rsid w:val="007275CE"/>
    <w:rsid w:val="00730059"/>
    <w:rsid w:val="00735E43"/>
    <w:rsid w:val="007435C6"/>
    <w:rsid w:val="00762A65"/>
    <w:rsid w:val="00794D98"/>
    <w:rsid w:val="007A3A1C"/>
    <w:rsid w:val="007B7FAE"/>
    <w:rsid w:val="007C3FBB"/>
    <w:rsid w:val="007D474E"/>
    <w:rsid w:val="007D782C"/>
    <w:rsid w:val="00841907"/>
    <w:rsid w:val="00853CBA"/>
    <w:rsid w:val="008619D1"/>
    <w:rsid w:val="008620BF"/>
    <w:rsid w:val="00870163"/>
    <w:rsid w:val="008707FB"/>
    <w:rsid w:val="0087488F"/>
    <w:rsid w:val="00881972"/>
    <w:rsid w:val="00886CED"/>
    <w:rsid w:val="008A1CFE"/>
    <w:rsid w:val="008A5CBC"/>
    <w:rsid w:val="008B5970"/>
    <w:rsid w:val="008D2A6C"/>
    <w:rsid w:val="008E00FA"/>
    <w:rsid w:val="008F67EC"/>
    <w:rsid w:val="0090677B"/>
    <w:rsid w:val="00906F47"/>
    <w:rsid w:val="00966094"/>
    <w:rsid w:val="009840F2"/>
    <w:rsid w:val="009E123E"/>
    <w:rsid w:val="009E1FFA"/>
    <w:rsid w:val="009E3460"/>
    <w:rsid w:val="009F3A34"/>
    <w:rsid w:val="009F6A1C"/>
    <w:rsid w:val="00A00992"/>
    <w:rsid w:val="00A21563"/>
    <w:rsid w:val="00A32BDE"/>
    <w:rsid w:val="00A35999"/>
    <w:rsid w:val="00A5288A"/>
    <w:rsid w:val="00A66E5B"/>
    <w:rsid w:val="00A67D16"/>
    <w:rsid w:val="00A704D4"/>
    <w:rsid w:val="00AA08E3"/>
    <w:rsid w:val="00AB740C"/>
    <w:rsid w:val="00AC04D4"/>
    <w:rsid w:val="00AC1E2A"/>
    <w:rsid w:val="00AE28F2"/>
    <w:rsid w:val="00AE660C"/>
    <w:rsid w:val="00B540DF"/>
    <w:rsid w:val="00B613E4"/>
    <w:rsid w:val="00BA0FDD"/>
    <w:rsid w:val="00BA5438"/>
    <w:rsid w:val="00BE6270"/>
    <w:rsid w:val="00BE796C"/>
    <w:rsid w:val="00C25E99"/>
    <w:rsid w:val="00C45B84"/>
    <w:rsid w:val="00C52327"/>
    <w:rsid w:val="00C73EC2"/>
    <w:rsid w:val="00CA063D"/>
    <w:rsid w:val="00CA4019"/>
    <w:rsid w:val="00CC4378"/>
    <w:rsid w:val="00CD4D68"/>
    <w:rsid w:val="00CF7273"/>
    <w:rsid w:val="00CF77A2"/>
    <w:rsid w:val="00D10FBB"/>
    <w:rsid w:val="00D25EEC"/>
    <w:rsid w:val="00D3514E"/>
    <w:rsid w:val="00D435FE"/>
    <w:rsid w:val="00D757DE"/>
    <w:rsid w:val="00D7716C"/>
    <w:rsid w:val="00D95187"/>
    <w:rsid w:val="00DA1891"/>
    <w:rsid w:val="00DA297B"/>
    <w:rsid w:val="00DA43F3"/>
    <w:rsid w:val="00DC1A22"/>
    <w:rsid w:val="00E00722"/>
    <w:rsid w:val="00E27A90"/>
    <w:rsid w:val="00E53184"/>
    <w:rsid w:val="00E62675"/>
    <w:rsid w:val="00E760C9"/>
    <w:rsid w:val="00EB3DE6"/>
    <w:rsid w:val="00ED7F99"/>
    <w:rsid w:val="00EE1219"/>
    <w:rsid w:val="00EF026F"/>
    <w:rsid w:val="00F667CE"/>
    <w:rsid w:val="00F90477"/>
    <w:rsid w:val="00F945BE"/>
    <w:rsid w:val="00FE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E79F7"/>
  <w15:docId w15:val="{7CA52D75-E971-4FDF-BAC8-FBA25559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idN  Style Normal"/>
    <w:qFormat/>
    <w:rsid w:val="00BE6270"/>
  </w:style>
  <w:style w:type="paragraph" w:styleId="Heading1">
    <w:name w:val="heading 1"/>
    <w:basedOn w:val="HeadingBase"/>
    <w:next w:val="Normal"/>
    <w:rsid w:val="00BE6270"/>
    <w:pPr>
      <w:numPr>
        <w:numId w:val="5"/>
      </w:numPr>
      <w:tabs>
        <w:tab w:val="clear" w:pos="360"/>
      </w:tabs>
      <w:spacing w:line="240" w:lineRule="atLeast"/>
      <w:ind w:left="0" w:firstLine="0"/>
      <w:outlineLvl w:val="0"/>
    </w:pPr>
    <w:rPr>
      <w:kern w:val="24"/>
      <w:u w:val="single"/>
    </w:rPr>
  </w:style>
  <w:style w:type="paragraph" w:styleId="Heading2">
    <w:name w:val="heading 2"/>
    <w:basedOn w:val="HeadingBase"/>
    <w:next w:val="BodyText"/>
    <w:rsid w:val="00BE6270"/>
    <w:pPr>
      <w:spacing w:line="240" w:lineRule="atLeast"/>
      <w:jc w:val="center"/>
      <w:outlineLvl w:val="1"/>
    </w:pPr>
    <w:rPr>
      <w:sz w:val="28"/>
    </w:rPr>
  </w:style>
  <w:style w:type="paragraph" w:styleId="Heading3">
    <w:name w:val="heading 3"/>
    <w:basedOn w:val="HeadingBase"/>
    <w:next w:val="BodyText"/>
    <w:rsid w:val="00BE6270"/>
    <w:pPr>
      <w:spacing w:after="240" w:line="240" w:lineRule="atLeast"/>
      <w:outlineLvl w:val="2"/>
    </w:pPr>
    <w:rPr>
      <w:rFonts w:ascii="Arial Black" w:hAnsi="Arial Black"/>
      <w:spacing w:val="-10"/>
    </w:rPr>
  </w:style>
  <w:style w:type="paragraph" w:styleId="Heading4">
    <w:name w:val="heading 4"/>
    <w:basedOn w:val="HeadingBase"/>
    <w:next w:val="BodyText"/>
    <w:rsid w:val="00BE6270"/>
    <w:pPr>
      <w:spacing w:after="240" w:line="240" w:lineRule="atLeast"/>
      <w:outlineLvl w:val="3"/>
    </w:pPr>
  </w:style>
  <w:style w:type="paragraph" w:styleId="Heading5">
    <w:name w:val="heading 5"/>
    <w:basedOn w:val="HeadingBase"/>
    <w:next w:val="BodyText"/>
    <w:rsid w:val="00BE6270"/>
    <w:pPr>
      <w:spacing w:line="240" w:lineRule="atLeast"/>
      <w:ind w:left="1440"/>
      <w:outlineLvl w:val="4"/>
    </w:pPr>
  </w:style>
  <w:style w:type="paragraph" w:styleId="Heading6">
    <w:name w:val="heading 6"/>
    <w:basedOn w:val="HeadingBase"/>
    <w:next w:val="BodyText"/>
    <w:rsid w:val="00BE6270"/>
    <w:pPr>
      <w:ind w:left="1440"/>
      <w:outlineLvl w:val="5"/>
    </w:pPr>
    <w:rPr>
      <w:i/>
    </w:rPr>
  </w:style>
  <w:style w:type="paragraph" w:styleId="Heading7">
    <w:name w:val="heading 7"/>
    <w:basedOn w:val="HeadingBase"/>
    <w:next w:val="BodyText"/>
    <w:rsid w:val="00BE6270"/>
    <w:pPr>
      <w:outlineLvl w:val="6"/>
    </w:pPr>
  </w:style>
  <w:style w:type="paragraph" w:styleId="Heading8">
    <w:name w:val="heading 8"/>
    <w:basedOn w:val="HeadingBase"/>
    <w:next w:val="BodyText"/>
    <w:rsid w:val="00BE6270"/>
    <w:pPr>
      <w:outlineLvl w:val="7"/>
    </w:pPr>
    <w:rPr>
      <w:i/>
      <w:sz w:val="18"/>
    </w:rPr>
  </w:style>
  <w:style w:type="paragraph" w:styleId="Heading9">
    <w:name w:val="heading 9"/>
    <w:basedOn w:val="HeadingBase"/>
    <w:next w:val="BodyText"/>
    <w:rsid w:val="00BE6270"/>
    <w:pPr>
      <w:outlineLvl w:val="8"/>
    </w:pPr>
    <w:rPr>
      <w:sz w:val="18"/>
    </w:rPr>
  </w:style>
  <w:style w:type="character" w:default="1" w:styleId="DefaultParagraphFont">
    <w:name w:val="Default Paragraph Font"/>
    <w:uiPriority w:val="1"/>
    <w:semiHidden/>
    <w:unhideWhenUsed/>
    <w:rsid w:val="00BE627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6270"/>
  </w:style>
  <w:style w:type="paragraph" w:customStyle="1" w:styleId="Mini-Lt">
    <w:name w:val="Mini-Lt"/>
    <w:basedOn w:val="Normal"/>
    <w:autoRedefine/>
    <w:rsid w:val="00BE6270"/>
    <w:rPr>
      <w:sz w:val="18"/>
    </w:rPr>
  </w:style>
  <w:style w:type="paragraph" w:customStyle="1" w:styleId="MiniHeading">
    <w:name w:val="Mini Heading"/>
    <w:basedOn w:val="Normal"/>
    <w:rsid w:val="00BE6270"/>
    <w:rPr>
      <w:b/>
      <w:sz w:val="18"/>
      <w:u w:val="single"/>
    </w:rPr>
  </w:style>
  <w:style w:type="paragraph" w:customStyle="1" w:styleId="DeedInserts">
    <w:name w:val="Deed Inserts"/>
    <w:basedOn w:val="Normal"/>
    <w:rsid w:val="00BE6270"/>
    <w:pPr>
      <w:suppressAutoHyphens/>
    </w:pPr>
    <w:rPr>
      <w:sz w:val="24"/>
    </w:rPr>
  </w:style>
  <w:style w:type="paragraph" w:customStyle="1" w:styleId="PayPlanTable">
    <w:name w:val="PayPlanTable"/>
    <w:basedOn w:val="Normal"/>
    <w:rsid w:val="00BE6270"/>
    <w:pPr>
      <w:jc w:val="center"/>
    </w:pPr>
    <w:rPr>
      <w:b/>
      <w:sz w:val="18"/>
    </w:rPr>
  </w:style>
  <w:style w:type="paragraph" w:customStyle="1" w:styleId="14PtHeader">
    <w:name w:val="14 Pt Header"/>
    <w:basedOn w:val="Normal"/>
    <w:rsid w:val="00BE6270"/>
    <w:pPr>
      <w:jc w:val="center"/>
    </w:pPr>
    <w:rPr>
      <w:b/>
      <w:sz w:val="28"/>
    </w:rPr>
  </w:style>
  <w:style w:type="paragraph" w:customStyle="1" w:styleId="12PtHeader">
    <w:name w:val="12 Pt Header"/>
    <w:basedOn w:val="Normal"/>
    <w:rsid w:val="00BE6270"/>
    <w:pPr>
      <w:jc w:val="center"/>
    </w:pPr>
    <w:rPr>
      <w:b/>
      <w:sz w:val="24"/>
    </w:rPr>
  </w:style>
  <w:style w:type="paragraph" w:customStyle="1" w:styleId="11PtHeader">
    <w:name w:val="11Pt Header"/>
    <w:basedOn w:val="Normal"/>
    <w:rsid w:val="00BE6270"/>
    <w:pPr>
      <w:jc w:val="center"/>
    </w:pPr>
    <w:rPr>
      <w:b/>
    </w:rPr>
  </w:style>
  <w:style w:type="paragraph" w:customStyle="1" w:styleId="Heading-Main">
    <w:name w:val="Heading-Main"/>
    <w:basedOn w:val="Normal"/>
    <w:rsid w:val="00BE6270"/>
    <w:pPr>
      <w:tabs>
        <w:tab w:val="num" w:pos="360"/>
      </w:tabs>
    </w:pPr>
    <w:rPr>
      <w:u w:val="single"/>
    </w:rPr>
  </w:style>
  <w:style w:type="paragraph" w:styleId="Header">
    <w:name w:val="header"/>
    <w:basedOn w:val="Normal"/>
    <w:link w:val="HeaderChar"/>
    <w:rsid w:val="00BE6270"/>
    <w:pPr>
      <w:tabs>
        <w:tab w:val="center" w:pos="4320"/>
        <w:tab w:val="right" w:pos="8640"/>
      </w:tabs>
    </w:pPr>
  </w:style>
  <w:style w:type="paragraph" w:styleId="Footer">
    <w:name w:val="footer"/>
    <w:basedOn w:val="Normal"/>
    <w:rsid w:val="00BE6270"/>
    <w:pPr>
      <w:keepLines/>
      <w:tabs>
        <w:tab w:val="center" w:pos="4320"/>
        <w:tab w:val="right" w:pos="8640"/>
      </w:tabs>
      <w:spacing w:line="190" w:lineRule="atLeast"/>
    </w:pPr>
    <w:rPr>
      <w:caps/>
      <w:sz w:val="16"/>
    </w:rPr>
  </w:style>
  <w:style w:type="character" w:styleId="PageNumber">
    <w:name w:val="page number"/>
    <w:basedOn w:val="DefaultParagraphFont"/>
    <w:rsid w:val="00BE6270"/>
  </w:style>
  <w:style w:type="paragraph" w:styleId="BodyText">
    <w:name w:val="Body Text"/>
    <w:basedOn w:val="Normal"/>
    <w:rsid w:val="00BE6270"/>
    <w:pPr>
      <w:spacing w:line="240" w:lineRule="atLeast"/>
    </w:pPr>
  </w:style>
  <w:style w:type="paragraph" w:styleId="BodyTextFirstIndent">
    <w:name w:val="Body Text First Indent"/>
    <w:aliases w:val="BidB Body Text First Indent"/>
    <w:basedOn w:val="BodyText"/>
    <w:link w:val="BodyTextFirstIndentChar"/>
    <w:autoRedefine/>
    <w:qFormat/>
    <w:rsid w:val="00BE6270"/>
    <w:pPr>
      <w:tabs>
        <w:tab w:val="left" w:pos="720"/>
      </w:tabs>
      <w:spacing w:line="240" w:lineRule="auto"/>
      <w:ind w:firstLine="720"/>
    </w:pPr>
  </w:style>
  <w:style w:type="paragraph" w:customStyle="1" w:styleId="1BidStyleLevel1">
    <w:name w:val="1Bid Style Level 1."/>
    <w:basedOn w:val="Normal"/>
    <w:autoRedefine/>
    <w:qFormat/>
    <w:rsid w:val="00BE6270"/>
    <w:pPr>
      <w:numPr>
        <w:numId w:val="20"/>
      </w:numPr>
      <w:tabs>
        <w:tab w:val="clear" w:pos="360"/>
        <w:tab w:val="left" w:pos="720"/>
      </w:tabs>
    </w:pPr>
    <w:rPr>
      <w:caps/>
      <w:u w:val="single"/>
    </w:rPr>
  </w:style>
  <w:style w:type="paragraph" w:customStyle="1" w:styleId="Level2">
    <w:name w:val="Level 2"/>
    <w:basedOn w:val="Normal"/>
    <w:rsid w:val="00BE6270"/>
    <w:pPr>
      <w:numPr>
        <w:ilvl w:val="1"/>
        <w:numId w:val="20"/>
      </w:numPr>
    </w:pPr>
  </w:style>
  <w:style w:type="paragraph" w:customStyle="1" w:styleId="Level3">
    <w:name w:val="Level 3"/>
    <w:basedOn w:val="Normal"/>
    <w:rsid w:val="00BE6270"/>
    <w:pPr>
      <w:numPr>
        <w:ilvl w:val="2"/>
        <w:numId w:val="20"/>
      </w:numPr>
    </w:pPr>
  </w:style>
  <w:style w:type="paragraph" w:customStyle="1" w:styleId="Level4">
    <w:name w:val="Level 4"/>
    <w:basedOn w:val="Normal"/>
    <w:rsid w:val="00BE6270"/>
    <w:pPr>
      <w:numPr>
        <w:ilvl w:val="3"/>
        <w:numId w:val="20"/>
      </w:numPr>
    </w:pPr>
  </w:style>
  <w:style w:type="paragraph" w:customStyle="1" w:styleId="Level5">
    <w:name w:val="Level 5"/>
    <w:basedOn w:val="Normal"/>
    <w:rsid w:val="00BE6270"/>
    <w:pPr>
      <w:numPr>
        <w:ilvl w:val="4"/>
        <w:numId w:val="20"/>
      </w:numPr>
    </w:pPr>
  </w:style>
  <w:style w:type="paragraph" w:customStyle="1" w:styleId="Level6">
    <w:name w:val="Level 6"/>
    <w:basedOn w:val="Normal"/>
    <w:rsid w:val="00BE6270"/>
    <w:pPr>
      <w:numPr>
        <w:ilvl w:val="5"/>
        <w:numId w:val="20"/>
      </w:numPr>
    </w:pPr>
  </w:style>
  <w:style w:type="paragraph" w:customStyle="1" w:styleId="Level7">
    <w:name w:val="Level 7"/>
    <w:basedOn w:val="Normal"/>
    <w:rsid w:val="00BE6270"/>
    <w:pPr>
      <w:numPr>
        <w:ilvl w:val="6"/>
        <w:numId w:val="20"/>
      </w:numPr>
    </w:pPr>
  </w:style>
  <w:style w:type="paragraph" w:customStyle="1" w:styleId="Level2-ParaIndent">
    <w:name w:val="Level 2 - Para Indent"/>
    <w:basedOn w:val="Normal"/>
    <w:rsid w:val="00BE6270"/>
    <w:pPr>
      <w:ind w:firstLine="1440"/>
    </w:pPr>
  </w:style>
  <w:style w:type="paragraph" w:customStyle="1" w:styleId="Level3-ParaIndent">
    <w:name w:val="Level 3 - Para Indent"/>
    <w:basedOn w:val="Normal"/>
    <w:rsid w:val="00BE6270"/>
    <w:pPr>
      <w:ind w:firstLine="2160"/>
    </w:pPr>
  </w:style>
  <w:style w:type="paragraph" w:customStyle="1" w:styleId="HeadingBase">
    <w:name w:val="Heading Base"/>
    <w:basedOn w:val="Normal"/>
    <w:next w:val="BodyText"/>
    <w:rsid w:val="00BE6270"/>
    <w:pPr>
      <w:spacing w:line="220" w:lineRule="atLeast"/>
    </w:pPr>
    <w:rPr>
      <w:kern w:val="28"/>
    </w:rPr>
  </w:style>
  <w:style w:type="paragraph" w:customStyle="1" w:styleId="TOCBase">
    <w:name w:val="TOC Base"/>
    <w:basedOn w:val="Normal"/>
    <w:rsid w:val="00BE6270"/>
    <w:pPr>
      <w:spacing w:after="240" w:line="240" w:lineRule="atLeast"/>
    </w:pPr>
  </w:style>
  <w:style w:type="paragraph" w:styleId="TOC1">
    <w:name w:val="toc 1"/>
    <w:basedOn w:val="TOCBase"/>
    <w:autoRedefine/>
    <w:uiPriority w:val="39"/>
    <w:rsid w:val="00BE6270"/>
    <w:pPr>
      <w:spacing w:before="120" w:after="120" w:line="240" w:lineRule="auto"/>
    </w:pPr>
    <w:rPr>
      <w:bCs/>
      <w:caps/>
    </w:rPr>
  </w:style>
  <w:style w:type="paragraph" w:customStyle="1" w:styleId="CPSTDName">
    <w:name w:val="CP STD Name"/>
    <w:basedOn w:val="Normal"/>
    <w:rsid w:val="00BE6270"/>
    <w:pPr>
      <w:jc w:val="right"/>
    </w:pPr>
  </w:style>
  <w:style w:type="paragraph" w:customStyle="1" w:styleId="HDG1">
    <w:name w:val="HDG 1"/>
    <w:basedOn w:val="HeadingBase"/>
    <w:rsid w:val="00BE6270"/>
    <w:pPr>
      <w:jc w:val="center"/>
    </w:pPr>
    <w:rPr>
      <w:sz w:val="28"/>
    </w:rPr>
  </w:style>
  <w:style w:type="paragraph" w:customStyle="1" w:styleId="BacksHeading2">
    <w:name w:val="Backs Heading 2"/>
    <w:basedOn w:val="Normal"/>
    <w:rsid w:val="00BE6270"/>
    <w:pPr>
      <w:tabs>
        <w:tab w:val="left" w:pos="6480"/>
        <w:tab w:val="right" w:pos="9540"/>
      </w:tabs>
      <w:spacing w:after="120"/>
    </w:pPr>
    <w:rPr>
      <w:u w:val="single"/>
    </w:rPr>
  </w:style>
  <w:style w:type="paragraph" w:styleId="BodyTextIndent">
    <w:name w:val="Body Text Indent"/>
    <w:basedOn w:val="BodyText"/>
    <w:rsid w:val="00BE6270"/>
    <w:pPr>
      <w:ind w:left="1440"/>
    </w:pPr>
  </w:style>
  <w:style w:type="paragraph" w:customStyle="1" w:styleId="Level5-ParaIndent">
    <w:name w:val="Level 5 - Para Indent"/>
    <w:basedOn w:val="Level4-ParaIndent"/>
    <w:rsid w:val="00BE6270"/>
    <w:pPr>
      <w:ind w:firstLine="3600"/>
    </w:pPr>
  </w:style>
  <w:style w:type="paragraph" w:customStyle="1" w:styleId="Level2-Bullet">
    <w:name w:val="Level 2 - Bullet"/>
    <w:basedOn w:val="Normal"/>
    <w:rsid w:val="00BE6270"/>
    <w:pPr>
      <w:tabs>
        <w:tab w:val="num" w:pos="1800"/>
      </w:tabs>
      <w:ind w:firstLine="1440"/>
    </w:pPr>
  </w:style>
  <w:style w:type="paragraph" w:customStyle="1" w:styleId="Level3-Bullet">
    <w:name w:val="Level 3 - Bullet"/>
    <w:basedOn w:val="Normal"/>
    <w:rsid w:val="00BE6270"/>
    <w:pPr>
      <w:tabs>
        <w:tab w:val="num" w:pos="2520"/>
      </w:tabs>
      <w:ind w:firstLine="2160"/>
    </w:pPr>
  </w:style>
  <w:style w:type="paragraph" w:customStyle="1" w:styleId="Level4-ParaIndent">
    <w:name w:val="Level 4 - Para Indent"/>
    <w:basedOn w:val="Normal"/>
    <w:rsid w:val="00BE6270"/>
    <w:pPr>
      <w:ind w:firstLine="2880"/>
    </w:pPr>
  </w:style>
  <w:style w:type="paragraph" w:customStyle="1" w:styleId="Level4-Bullet">
    <w:name w:val="Level 4 - Bullet"/>
    <w:basedOn w:val="Normal"/>
    <w:rsid w:val="00BE6270"/>
    <w:pPr>
      <w:tabs>
        <w:tab w:val="num" w:pos="3240"/>
      </w:tabs>
      <w:ind w:firstLine="2880"/>
    </w:pPr>
  </w:style>
  <w:style w:type="paragraph" w:styleId="TOC2">
    <w:name w:val="toc 2"/>
    <w:aliases w:val="BR201 Title"/>
    <w:basedOn w:val="Normal"/>
    <w:next w:val="Normal"/>
    <w:autoRedefine/>
    <w:uiPriority w:val="39"/>
    <w:rsid w:val="00BE6270"/>
    <w:pPr>
      <w:ind w:left="220"/>
    </w:pPr>
    <w:rPr>
      <w:rFonts w:asciiTheme="minorHAnsi" w:hAnsiTheme="minorHAnsi"/>
      <w:smallCaps/>
    </w:rPr>
  </w:style>
  <w:style w:type="paragraph" w:customStyle="1" w:styleId="Level6-ParaIndent">
    <w:name w:val="Level 6 - Para Indent"/>
    <w:basedOn w:val="Level6"/>
    <w:rsid w:val="00BE6270"/>
    <w:pPr>
      <w:numPr>
        <w:ilvl w:val="0"/>
        <w:numId w:val="0"/>
      </w:numPr>
      <w:ind w:firstLine="4320"/>
    </w:pPr>
  </w:style>
  <w:style w:type="paragraph" w:customStyle="1" w:styleId="Level7-ParaIndent">
    <w:name w:val="Level 7 - Para Indent"/>
    <w:basedOn w:val="Level7"/>
    <w:rsid w:val="00BE6270"/>
    <w:pPr>
      <w:numPr>
        <w:ilvl w:val="0"/>
        <w:numId w:val="0"/>
      </w:numPr>
      <w:ind w:firstLine="5040"/>
    </w:pPr>
  </w:style>
  <w:style w:type="paragraph" w:customStyle="1" w:styleId="Bullet-Text">
    <w:name w:val="Bullet - Text"/>
    <w:basedOn w:val="Normal"/>
    <w:autoRedefine/>
    <w:qFormat/>
    <w:rsid w:val="00BE6270"/>
    <w:pPr>
      <w:numPr>
        <w:numId w:val="6"/>
      </w:numPr>
      <w:tabs>
        <w:tab w:val="clear" w:pos="1800"/>
        <w:tab w:val="left" w:pos="720"/>
      </w:tabs>
    </w:pPr>
  </w:style>
  <w:style w:type="paragraph" w:styleId="TOC3">
    <w:name w:val="toc 3"/>
    <w:basedOn w:val="Normal"/>
    <w:next w:val="Normal"/>
    <w:autoRedefine/>
    <w:uiPriority w:val="39"/>
    <w:semiHidden/>
    <w:qFormat/>
    <w:rsid w:val="00BE6270"/>
    <w:pPr>
      <w:ind w:left="440"/>
    </w:pPr>
    <w:rPr>
      <w:rFonts w:asciiTheme="minorHAnsi" w:hAnsiTheme="minorHAnsi"/>
      <w:i/>
      <w:iCs/>
    </w:rPr>
  </w:style>
  <w:style w:type="paragraph" w:styleId="TOC4">
    <w:name w:val="toc 4"/>
    <w:basedOn w:val="Normal"/>
    <w:next w:val="Normal"/>
    <w:autoRedefine/>
    <w:semiHidden/>
    <w:rsid w:val="00BE6270"/>
    <w:pPr>
      <w:ind w:left="660"/>
    </w:pPr>
    <w:rPr>
      <w:rFonts w:asciiTheme="minorHAnsi" w:hAnsiTheme="minorHAnsi"/>
      <w:sz w:val="18"/>
      <w:szCs w:val="18"/>
    </w:rPr>
  </w:style>
  <w:style w:type="paragraph" w:styleId="TOC5">
    <w:name w:val="toc 5"/>
    <w:basedOn w:val="Normal"/>
    <w:next w:val="Normal"/>
    <w:autoRedefine/>
    <w:semiHidden/>
    <w:rsid w:val="00BE6270"/>
    <w:pPr>
      <w:ind w:left="880"/>
    </w:pPr>
    <w:rPr>
      <w:rFonts w:asciiTheme="minorHAnsi" w:hAnsiTheme="minorHAnsi"/>
      <w:sz w:val="18"/>
      <w:szCs w:val="18"/>
    </w:rPr>
  </w:style>
  <w:style w:type="paragraph" w:styleId="TOC6">
    <w:name w:val="toc 6"/>
    <w:basedOn w:val="Normal"/>
    <w:next w:val="Normal"/>
    <w:autoRedefine/>
    <w:semiHidden/>
    <w:rsid w:val="00BE6270"/>
    <w:pPr>
      <w:ind w:left="1100"/>
    </w:pPr>
    <w:rPr>
      <w:rFonts w:asciiTheme="minorHAnsi" w:hAnsiTheme="minorHAnsi"/>
      <w:sz w:val="18"/>
      <w:szCs w:val="18"/>
    </w:rPr>
  </w:style>
  <w:style w:type="paragraph" w:styleId="TOC7">
    <w:name w:val="toc 7"/>
    <w:basedOn w:val="Normal"/>
    <w:next w:val="Normal"/>
    <w:autoRedefine/>
    <w:semiHidden/>
    <w:rsid w:val="00BE6270"/>
    <w:pPr>
      <w:ind w:left="1320"/>
    </w:pPr>
    <w:rPr>
      <w:rFonts w:asciiTheme="minorHAnsi" w:hAnsiTheme="minorHAnsi"/>
      <w:sz w:val="18"/>
      <w:szCs w:val="18"/>
    </w:rPr>
  </w:style>
  <w:style w:type="paragraph" w:styleId="TOC8">
    <w:name w:val="toc 8"/>
    <w:basedOn w:val="Normal"/>
    <w:next w:val="Normal"/>
    <w:autoRedefine/>
    <w:semiHidden/>
    <w:rsid w:val="00BE6270"/>
    <w:pPr>
      <w:ind w:left="1540"/>
    </w:pPr>
    <w:rPr>
      <w:rFonts w:asciiTheme="minorHAnsi" w:hAnsiTheme="minorHAnsi"/>
      <w:sz w:val="18"/>
      <w:szCs w:val="18"/>
    </w:rPr>
  </w:style>
  <w:style w:type="paragraph" w:styleId="TOC9">
    <w:name w:val="toc 9"/>
    <w:basedOn w:val="Normal"/>
    <w:next w:val="Normal"/>
    <w:autoRedefine/>
    <w:semiHidden/>
    <w:rsid w:val="00BE6270"/>
    <w:pPr>
      <w:ind w:left="1760"/>
    </w:pPr>
    <w:rPr>
      <w:rFonts w:asciiTheme="minorHAnsi" w:hAnsiTheme="minorHAnsi"/>
      <w:sz w:val="18"/>
      <w:szCs w:val="18"/>
    </w:rPr>
  </w:style>
  <w:style w:type="character" w:styleId="Hyperlink">
    <w:name w:val="Hyperlink"/>
    <w:basedOn w:val="DefaultParagraphFont"/>
    <w:uiPriority w:val="99"/>
    <w:rsid w:val="00BE6270"/>
    <w:rPr>
      <w:color w:val="0000FF"/>
      <w:u w:val="single"/>
    </w:rPr>
  </w:style>
  <w:style w:type="character" w:customStyle="1" w:styleId="BodyTextFirstIndentChar">
    <w:name w:val="Body Text First Indent Char"/>
    <w:aliases w:val="BidB Body Text First Indent Char"/>
    <w:basedOn w:val="DefaultParagraphFont"/>
    <w:link w:val="BodyTextFirstIndent"/>
    <w:rsid w:val="00BE6270"/>
  </w:style>
  <w:style w:type="paragraph" w:customStyle="1" w:styleId="1BidStyle1">
    <w:name w:val="1Bid Style 1."/>
    <w:basedOn w:val="1BidStyleLevel1"/>
    <w:rsid w:val="00BE6270"/>
  </w:style>
  <w:style w:type="paragraph" w:customStyle="1" w:styleId="2BidStyleA">
    <w:name w:val="2Bid Style A."/>
    <w:basedOn w:val="Level2"/>
    <w:autoRedefine/>
    <w:qFormat/>
    <w:rsid w:val="00BE6270"/>
    <w:pPr>
      <w:tabs>
        <w:tab w:val="clear" w:pos="1080"/>
      </w:tabs>
    </w:pPr>
  </w:style>
  <w:style w:type="paragraph" w:customStyle="1" w:styleId="3BidStyle1">
    <w:name w:val="3Bid Style 1)"/>
    <w:basedOn w:val="Level3"/>
    <w:autoRedefine/>
    <w:qFormat/>
    <w:rsid w:val="00BE6270"/>
    <w:pPr>
      <w:tabs>
        <w:tab w:val="clear" w:pos="1080"/>
      </w:tabs>
    </w:pPr>
  </w:style>
  <w:style w:type="paragraph" w:customStyle="1" w:styleId="4BidStylea">
    <w:name w:val="4Bid Style a)"/>
    <w:basedOn w:val="Level4"/>
    <w:autoRedefine/>
    <w:qFormat/>
    <w:rsid w:val="00BE6270"/>
    <w:pPr>
      <w:tabs>
        <w:tab w:val="clear" w:pos="1080"/>
        <w:tab w:val="left" w:pos="720"/>
      </w:tabs>
    </w:pPr>
  </w:style>
  <w:style w:type="paragraph" w:customStyle="1" w:styleId="5BidStyle1">
    <w:name w:val="5Bid Style (1)"/>
    <w:basedOn w:val="Level5"/>
    <w:autoRedefine/>
    <w:qFormat/>
    <w:rsid w:val="00BE6270"/>
    <w:pPr>
      <w:tabs>
        <w:tab w:val="clear" w:pos="1080"/>
        <w:tab w:val="left" w:pos="720"/>
      </w:tabs>
    </w:pPr>
  </w:style>
  <w:style w:type="paragraph" w:customStyle="1" w:styleId="6BidStylea">
    <w:name w:val="6Bid Style (a)"/>
    <w:basedOn w:val="Level6"/>
    <w:autoRedefine/>
    <w:qFormat/>
    <w:rsid w:val="00BE6270"/>
    <w:pPr>
      <w:tabs>
        <w:tab w:val="clear" w:pos="1080"/>
        <w:tab w:val="left" w:pos="720"/>
      </w:tabs>
    </w:pPr>
  </w:style>
  <w:style w:type="paragraph" w:customStyle="1" w:styleId="7BidStylei">
    <w:name w:val="7Bid Style i)"/>
    <w:basedOn w:val="Level7"/>
    <w:autoRedefine/>
    <w:qFormat/>
    <w:rsid w:val="00BE6270"/>
  </w:style>
  <w:style w:type="paragraph" w:styleId="TOCHeading">
    <w:name w:val="TOC Heading"/>
    <w:basedOn w:val="Heading1"/>
    <w:next w:val="Normal"/>
    <w:uiPriority w:val="39"/>
    <w:semiHidden/>
    <w:unhideWhenUsed/>
    <w:qFormat/>
    <w:rsid w:val="00BE6270"/>
    <w:pPr>
      <w:keepNext/>
      <w:numPr>
        <w:numId w:val="0"/>
      </w:numPr>
      <w:spacing w:line="240" w:lineRule="auto"/>
      <w:outlineLvl w:val="9"/>
    </w:pPr>
    <w:rPr>
      <w:b/>
      <w:bCs/>
      <w:kern w:val="0"/>
      <w:sz w:val="24"/>
      <w:u w:val="none"/>
    </w:rPr>
  </w:style>
  <w:style w:type="paragraph" w:styleId="BalloonText">
    <w:name w:val="Balloon Text"/>
    <w:basedOn w:val="Normal"/>
    <w:link w:val="BalloonTextChar"/>
    <w:rsid w:val="00BE6270"/>
    <w:rPr>
      <w:rFonts w:ascii="Tahoma" w:hAnsi="Tahoma" w:cs="Tahoma"/>
      <w:sz w:val="16"/>
      <w:szCs w:val="16"/>
    </w:rPr>
  </w:style>
  <w:style w:type="character" w:customStyle="1" w:styleId="BalloonTextChar">
    <w:name w:val="Balloon Text Char"/>
    <w:basedOn w:val="DefaultParagraphFont"/>
    <w:link w:val="BalloonText"/>
    <w:rsid w:val="00BE6270"/>
    <w:rPr>
      <w:rFonts w:ascii="Tahoma" w:hAnsi="Tahoma" w:cs="Tahoma"/>
      <w:sz w:val="16"/>
      <w:szCs w:val="16"/>
    </w:rPr>
  </w:style>
  <w:style w:type="character" w:styleId="PlaceholderText">
    <w:name w:val="Placeholder Text"/>
    <w:basedOn w:val="DefaultParagraphFont"/>
    <w:uiPriority w:val="99"/>
    <w:semiHidden/>
    <w:rsid w:val="00BE6270"/>
    <w:rPr>
      <w:color w:val="808080"/>
    </w:rPr>
  </w:style>
  <w:style w:type="character" w:customStyle="1" w:styleId="HeaderChar">
    <w:name w:val="Header Char"/>
    <w:basedOn w:val="DefaultParagraphFont"/>
    <w:link w:val="Header"/>
    <w:rsid w:val="00BE6270"/>
  </w:style>
  <w:style w:type="paragraph" w:styleId="ListParagraph">
    <w:name w:val="List Paragraph"/>
    <w:basedOn w:val="Normal"/>
    <w:uiPriority w:val="34"/>
    <w:rsid w:val="00BE6270"/>
    <w:pPr>
      <w:spacing w:after="200" w:line="276" w:lineRule="auto"/>
      <w:ind w:left="720"/>
      <w:contextualSpacing/>
    </w:pPr>
    <w:rPr>
      <w:rFonts w:asciiTheme="minorHAnsi" w:hAnsiTheme="minorHAnsi"/>
    </w:rPr>
  </w:style>
  <w:style w:type="character" w:customStyle="1" w:styleId="Style7">
    <w:name w:val="Style7"/>
    <w:basedOn w:val="DefaultParagraphFont"/>
    <w:uiPriority w:val="1"/>
    <w:rsid w:val="00BE6270"/>
    <w:rPr>
      <w:rFonts w:ascii="Arial" w:hAnsi="Arial"/>
      <w:sz w:val="22"/>
    </w:rPr>
  </w:style>
  <w:style w:type="character" w:customStyle="1" w:styleId="Style8">
    <w:name w:val="Style8"/>
    <w:basedOn w:val="DefaultParagraphFont"/>
    <w:uiPriority w:val="1"/>
    <w:rsid w:val="00BE6270"/>
    <w:rPr>
      <w:rFonts w:ascii="Arial" w:hAnsi="Arial"/>
      <w:sz w:val="22"/>
    </w:rPr>
  </w:style>
  <w:style w:type="character" w:customStyle="1" w:styleId="Style11">
    <w:name w:val="Style11"/>
    <w:basedOn w:val="DefaultParagraphFont"/>
    <w:uiPriority w:val="1"/>
    <w:rsid w:val="00BE6270"/>
    <w:rPr>
      <w:rFonts w:ascii="Arial" w:hAnsi="Arial"/>
      <w:sz w:val="22"/>
    </w:rPr>
  </w:style>
  <w:style w:type="character" w:customStyle="1" w:styleId="Style14">
    <w:name w:val="Style14"/>
    <w:basedOn w:val="DefaultParagraphFont"/>
    <w:uiPriority w:val="1"/>
    <w:rsid w:val="00BE6270"/>
    <w:rPr>
      <w:rFonts w:ascii="Arial" w:hAnsi="Arial"/>
      <w:b/>
      <w:sz w:val="22"/>
    </w:rPr>
  </w:style>
  <w:style w:type="character" w:customStyle="1" w:styleId="Style16">
    <w:name w:val="Style16"/>
    <w:basedOn w:val="DefaultParagraphFont"/>
    <w:uiPriority w:val="1"/>
    <w:rsid w:val="00BE6270"/>
    <w:rPr>
      <w:rFonts w:ascii="Arial" w:hAnsi="Arial"/>
      <w:b/>
      <w:sz w:val="28"/>
    </w:rPr>
  </w:style>
  <w:style w:type="character" w:customStyle="1" w:styleId="Style17">
    <w:name w:val="Style17"/>
    <w:basedOn w:val="DefaultParagraphFont"/>
    <w:uiPriority w:val="1"/>
    <w:rsid w:val="00BE6270"/>
    <w:rPr>
      <w:rFonts w:ascii="Arial" w:hAnsi="Arial"/>
      <w:b/>
      <w:sz w:val="28"/>
    </w:rPr>
  </w:style>
  <w:style w:type="character" w:customStyle="1" w:styleId="Style18">
    <w:name w:val="Style18"/>
    <w:basedOn w:val="DefaultParagraphFont"/>
    <w:uiPriority w:val="1"/>
    <w:rsid w:val="00BE6270"/>
    <w:rPr>
      <w:rFonts w:ascii="Arial" w:hAnsi="Arial"/>
      <w:sz w:val="22"/>
    </w:rPr>
  </w:style>
  <w:style w:type="character" w:customStyle="1" w:styleId="Style19">
    <w:name w:val="Style19"/>
    <w:basedOn w:val="DefaultParagraphFont"/>
    <w:uiPriority w:val="1"/>
    <w:rsid w:val="00BE6270"/>
    <w:rPr>
      <w:rFonts w:ascii="Arial" w:hAnsi="Arial"/>
      <w:sz w:val="22"/>
    </w:rPr>
  </w:style>
  <w:style w:type="character" w:customStyle="1" w:styleId="Style22">
    <w:name w:val="Style22"/>
    <w:basedOn w:val="DefaultParagraphFont"/>
    <w:uiPriority w:val="1"/>
    <w:rsid w:val="00BE6270"/>
    <w:rPr>
      <w:b/>
    </w:rPr>
  </w:style>
  <w:style w:type="paragraph" w:styleId="Revision">
    <w:name w:val="Revision"/>
    <w:hidden/>
    <w:uiPriority w:val="99"/>
    <w:semiHidden/>
    <w:rsid w:val="00C52327"/>
  </w:style>
  <w:style w:type="character" w:styleId="CommentReference">
    <w:name w:val="annotation reference"/>
    <w:basedOn w:val="DefaultParagraphFont"/>
    <w:semiHidden/>
    <w:unhideWhenUsed/>
    <w:rsid w:val="00356D8B"/>
    <w:rPr>
      <w:sz w:val="16"/>
      <w:szCs w:val="16"/>
    </w:rPr>
  </w:style>
  <w:style w:type="paragraph" w:styleId="CommentText">
    <w:name w:val="annotation text"/>
    <w:basedOn w:val="Normal"/>
    <w:link w:val="CommentTextChar"/>
    <w:unhideWhenUsed/>
    <w:rsid w:val="00356D8B"/>
    <w:rPr>
      <w:sz w:val="20"/>
      <w:szCs w:val="20"/>
    </w:rPr>
  </w:style>
  <w:style w:type="character" w:customStyle="1" w:styleId="CommentTextChar">
    <w:name w:val="Comment Text Char"/>
    <w:basedOn w:val="DefaultParagraphFont"/>
    <w:link w:val="CommentText"/>
    <w:rsid w:val="00356D8B"/>
    <w:rPr>
      <w:sz w:val="20"/>
      <w:szCs w:val="20"/>
    </w:rPr>
  </w:style>
  <w:style w:type="paragraph" w:styleId="CommentSubject">
    <w:name w:val="annotation subject"/>
    <w:basedOn w:val="CommentText"/>
    <w:next w:val="CommentText"/>
    <w:link w:val="CommentSubjectChar"/>
    <w:semiHidden/>
    <w:unhideWhenUsed/>
    <w:rsid w:val="00356D8B"/>
    <w:rPr>
      <w:b/>
      <w:bCs/>
    </w:rPr>
  </w:style>
  <w:style w:type="character" w:customStyle="1" w:styleId="CommentSubjectChar">
    <w:name w:val="Comment Subject Char"/>
    <w:basedOn w:val="CommentTextChar"/>
    <w:link w:val="CommentSubject"/>
    <w:semiHidden/>
    <w:rsid w:val="00356D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53530">
      <w:bodyDiv w:val="1"/>
      <w:marLeft w:val="0"/>
      <w:marRight w:val="0"/>
      <w:marTop w:val="0"/>
      <w:marBottom w:val="0"/>
      <w:divBdr>
        <w:top w:val="none" w:sz="0" w:space="0" w:color="auto"/>
        <w:left w:val="none" w:sz="0" w:space="0" w:color="auto"/>
        <w:bottom w:val="none" w:sz="0" w:space="0" w:color="auto"/>
        <w:right w:val="none" w:sz="0" w:space="0" w:color="auto"/>
      </w:divBdr>
    </w:div>
    <w:div w:id="59305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q.mt.gov/files/Water/WQInfo/Documents/WPBForms/2023-Attachment-B-MTR10000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ate\mdt\prd\Helena\ContractPlans\STANDARD_SPECIALS\SPECIAL_PROVISIONS\_SPECIALS_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2B4C2-3D1A-4187-9021-4DF2EE905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_SPECIALS_BLANK</Template>
  <TotalTime>2</TotalTime>
  <Pages>3</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SPECIAL PROVISIONS</vt:lpstr>
    </vt:vector>
  </TitlesOfParts>
  <Company>MDT</Company>
  <LinksUpToDate>false</LinksUpToDate>
  <CharactersWithSpaces>9254</CharactersWithSpaces>
  <SharedDoc>false</SharedDoc>
  <HLinks>
    <vt:vector size="6" baseType="variant">
      <vt:variant>
        <vt:i4>4325399</vt:i4>
      </vt:variant>
      <vt:variant>
        <vt:i4>45</vt:i4>
      </vt:variant>
      <vt:variant>
        <vt:i4>0</vt:i4>
      </vt:variant>
      <vt:variant>
        <vt:i4>5</vt:i4>
      </vt:variant>
      <vt:variant>
        <vt:lpwstr>http://www.mdt.mt.gov/business/contracting.shtml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PROVISIONS</dc:title>
  <dc:subject/>
  <dc:creator>Jagoda, Jean</dc:creator>
  <cp:keywords/>
  <dc:description/>
  <cp:lastModifiedBy>MacMillan, John</cp:lastModifiedBy>
  <cp:revision>3</cp:revision>
  <cp:lastPrinted>1999-11-10T15:48:00Z</cp:lastPrinted>
  <dcterms:created xsi:type="dcterms:W3CDTF">2023-06-12T14:08:00Z</dcterms:created>
  <dcterms:modified xsi:type="dcterms:W3CDTF">2023-06-12T14:08:00Z</dcterms:modified>
</cp:coreProperties>
</file>